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C2512">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Министерство труда, социального обеспечения и миграции </w:t>
      </w:r>
    </w:p>
    <w:p w14:paraId="0C60948F">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Кыргызская Республика</w:t>
      </w:r>
    </w:p>
    <w:p w14:paraId="702FF11C">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Проект ВБ «Укрепление программ социальной помощи и рынка труда»</w:t>
      </w:r>
    </w:p>
    <w:p w14:paraId="08E24607">
      <w:pPr>
        <w:spacing w:after="0" w:line="240" w:lineRule="auto"/>
        <w:jc w:val="center"/>
        <w:rPr>
          <w:rFonts w:hint="default" w:ascii="Times New Roman" w:hAnsi="Times New Roman" w:eastAsia="Calibri"/>
          <w:b/>
          <w:color w:val="auto"/>
          <w:sz w:val="24"/>
          <w:szCs w:val="24"/>
          <w:highlight w:val="none"/>
          <w:lang w:eastAsia="ru-RU"/>
        </w:rPr>
      </w:pPr>
    </w:p>
    <w:p w14:paraId="0A80A2D7">
      <w:pPr>
        <w:spacing w:after="0" w:line="240" w:lineRule="auto"/>
        <w:jc w:val="center"/>
        <w:rPr>
          <w:rFonts w:hint="default" w:ascii="Times New Roman" w:hAnsi="Times New Roman" w:eastAsia="Calibri"/>
          <w:b/>
          <w:color w:val="auto"/>
          <w:sz w:val="24"/>
          <w:szCs w:val="24"/>
          <w:highlight w:val="none"/>
          <w:lang w:eastAsia="ru-RU"/>
        </w:rPr>
      </w:pPr>
    </w:p>
    <w:p w14:paraId="23AA0AF1">
      <w:pPr>
        <w:spacing w:after="0" w:line="240" w:lineRule="auto"/>
        <w:jc w:val="center"/>
        <w:rPr>
          <w:rFonts w:hint="default" w:ascii="Times New Roman" w:hAnsi="Times New Roman" w:eastAsia="Calibri"/>
          <w:b/>
          <w:bCs w:val="0"/>
          <w:sz w:val="24"/>
          <w:szCs w:val="24"/>
          <w:lang w:val="ru-RU"/>
        </w:rPr>
      </w:pPr>
      <w:r>
        <w:rPr>
          <w:rFonts w:hint="default" w:ascii="Times New Roman" w:hAnsi="Times New Roman" w:eastAsia="Calibri"/>
          <w:b/>
          <w:color w:val="auto"/>
          <w:sz w:val="24"/>
          <w:szCs w:val="24"/>
          <w:highlight w:val="none"/>
          <w:lang w:eastAsia="ru-RU"/>
        </w:rPr>
        <w:t>№</w:t>
      </w:r>
      <w:r>
        <w:rPr>
          <w:rFonts w:hint="default" w:ascii="Times New Roman" w:hAnsi="Times New Roman" w:eastAsia="Calibri"/>
          <w:b/>
          <w:color w:val="auto"/>
          <w:sz w:val="24"/>
          <w:szCs w:val="24"/>
          <w:highlight w:val="none"/>
          <w:lang w:val="en-US" w:eastAsia="ru-RU"/>
        </w:rPr>
        <w:t xml:space="preserve"> </w:t>
      </w:r>
      <w:r>
        <w:rPr>
          <w:rFonts w:hint="default" w:ascii="Times New Roman" w:hAnsi="Times New Roman" w:eastAsia="Calibri"/>
          <w:b/>
          <w:color w:val="auto"/>
          <w:sz w:val="24"/>
          <w:szCs w:val="24"/>
          <w:highlight w:val="none"/>
          <w:lang w:eastAsia="ru-RU"/>
        </w:rPr>
        <w:t>KG/SSALMP/CS/COM-2.2/2026/IC-1</w:t>
      </w:r>
    </w:p>
    <w:p w14:paraId="56283F67">
      <w:pPr>
        <w:spacing w:after="0" w:line="240" w:lineRule="auto"/>
        <w:jc w:val="center"/>
        <w:rPr>
          <w:rFonts w:hint="default" w:ascii="Times New Roman" w:hAnsi="Times New Roman" w:eastAsia="Calibri" w:cs="Times New Roman"/>
          <w:b/>
          <w:bCs w:val="0"/>
          <w:sz w:val="24"/>
          <w:szCs w:val="24"/>
          <w:lang w:val="ru-RU"/>
        </w:rPr>
      </w:pPr>
      <w:r>
        <w:rPr>
          <w:rFonts w:hint="default" w:ascii="Times New Roman" w:hAnsi="Times New Roman" w:eastAsia="Calibri"/>
          <w:b/>
          <w:bCs w:val="0"/>
          <w:sz w:val="24"/>
          <w:szCs w:val="24"/>
          <w:lang w:val="ru-RU"/>
        </w:rPr>
        <w:t>«</w:t>
      </w:r>
      <w:r>
        <w:rPr>
          <w:rFonts w:hint="default" w:ascii="Times New Roman" w:hAnsi="Times New Roman" w:eastAsia="Calibri"/>
          <w:b/>
          <w:bCs w:val="0"/>
          <w:sz w:val="24"/>
          <w:szCs w:val="24"/>
          <w:lang w:val="ky-KG"/>
        </w:rPr>
        <w:t>Консультант по молодежной стажировке Свердловского района</w:t>
      </w:r>
      <w:r>
        <w:rPr>
          <w:rFonts w:hint="default" w:ascii="Times New Roman" w:hAnsi="Times New Roman" w:eastAsia="Calibri"/>
          <w:b/>
          <w:bCs w:val="0"/>
          <w:sz w:val="24"/>
          <w:szCs w:val="24"/>
          <w:lang w:val="ru-RU"/>
        </w:rPr>
        <w:t>»</w:t>
      </w:r>
    </w:p>
    <w:p w14:paraId="2AD49971">
      <w:pPr>
        <w:spacing w:after="0" w:line="240" w:lineRule="auto"/>
        <w:jc w:val="center"/>
        <w:rPr>
          <w:rFonts w:ascii="Times New Roman" w:hAnsi="Times New Roman" w:eastAsia="Calibri" w:cs="Times New Roman"/>
          <w:bCs/>
          <w:sz w:val="24"/>
          <w:szCs w:val="24"/>
          <w:lang w:val="ky-KG"/>
        </w:rPr>
      </w:pPr>
    </w:p>
    <w:p w14:paraId="0D1927AE">
      <w:pPr>
        <w:spacing w:after="0" w:line="240" w:lineRule="auto"/>
        <w:jc w:val="center"/>
        <w:rPr>
          <w:rFonts w:ascii="Times New Roman" w:hAnsi="Times New Roman" w:eastAsia="Calibri" w:cs="Times New Roman"/>
          <w:bCs/>
          <w:sz w:val="24"/>
          <w:szCs w:val="24"/>
          <w:lang w:val="ky-KG"/>
        </w:rPr>
      </w:pPr>
    </w:p>
    <w:p w14:paraId="61153B8A">
      <w:pPr>
        <w:pStyle w:val="6"/>
        <w:numPr>
          <w:ilvl w:val="0"/>
          <w:numId w:val="1"/>
        </w:numPr>
        <w:contextualSpacing w:val="0"/>
        <w:rPr>
          <w:rFonts w:eastAsia="Calibri"/>
          <w:b/>
          <w:bCs/>
          <w:u w:val="single"/>
          <w:lang w:val="ky-KG"/>
        </w:rPr>
      </w:pPr>
      <w:r>
        <w:rPr>
          <w:rFonts w:eastAsia="Calibri"/>
          <w:b/>
          <w:bCs/>
          <w:u w:val="single"/>
          <w:lang w:val="ky-KG"/>
        </w:rPr>
        <w:t>Общая информация</w:t>
      </w:r>
    </w:p>
    <w:p w14:paraId="183C9BA3">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Проблема развития молодежного рынка труда в республике остается одной из самых актуальных. Около 50% всех безработных приходится на молодежь, лиц в возрасте 15-29 лет, причем наиболее остро проблема безработицы стоит для возрастной группы от 20 до 34 лет, проживающей в городской местности. По уровню образования наиболее острая ситуация по безработице складывается с лицами, имеющими только среднее общее образование и неполное среднее образование, доля которых составляет 61,8% от всех безработных. Для рынка труда Кыргызской Республики характерна высокая продолжительность периода поиска работы и трудоустройства. Средняя продолжительность безработицы в последние годы составляет около 13 месяцев, в большой степени за счет лиц, относящихся к категории малоимущих, получающих государственные пособия по малообеспеченности, слабо мотивированных на активный поиск работы. </w:t>
      </w:r>
    </w:p>
    <w:p w14:paraId="3921848B">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Несмотря на рост образовательных и профессиональных возможностей для молодежи, местный рынок труда сталкивается с рядом сложностей: высокий уровень безработицы среди молодежи, нехватка квалифицированных кадров, особенно по рабочим специальностям (чаще всего молодые люди не обладают нужными практическими компетенциями или не имеют востребованную профессию), идёт отток молодежи за рубеж и в крупные города, что создаёт дефицит кадров в регионах и т.д. </w:t>
      </w:r>
    </w:p>
    <w:p w14:paraId="7B9F2E50">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Ввиду этих и других причин, в 2024 году с принятием распоряжения Кабинета Министров Кыргызской Республики от 8 июля 2024 года № 404 и при поддержке проекта Всемирного банка «Укрепление программ социальной помощи и рынка труда» Министерство труда, социального обеспечения и миграции Кыргызской Республики (далее – МТСОМ КР) в 30-ти городах и районах запустило пилот по молодежной стажировке. Для реализации запланированных мероприятий были определены пилотные территориальные подразделения МТСОМ КР, подготовлены методологические материалы, утверждены соответствующие квоты для каждого пилотного региона. </w:t>
      </w:r>
    </w:p>
    <w:p w14:paraId="76545575">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Цель молодежной стажировки – расширение возможности молодежи в получении необходимых знаний и опыта, направление их на профессиональное обучение и стажировку, формирование и закрепление на практике профессиональных знаний, получение ими первоначального практического опыта, приобретение профессиональных и мягких навыков, повышение уровня трудовой адаптации молодежи, обеспечение кадровых потребностей работодателей.</w:t>
      </w:r>
    </w:p>
    <w:p w14:paraId="24C0B763">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Условия реализации пилота: </w:t>
      </w:r>
    </w:p>
    <w:p w14:paraId="1048226A">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безработных молодых людей требуется направить на профобучение;</w:t>
      </w:r>
    </w:p>
    <w:p w14:paraId="3A5D00FE">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безработных молодых людей требуется направить на стажировку;</w:t>
      </w:r>
    </w:p>
    <w:p w14:paraId="1CFBEADD">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стажеров пройдут тренинги по мягким навыкам;</w:t>
      </w:r>
    </w:p>
    <w:p w14:paraId="076DEAEB">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длительность стажировки на одного участника не превышает 6 месяцев;</w:t>
      </w:r>
    </w:p>
    <w:p w14:paraId="1ED9E98D">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на период стажировки стажерам выплачивается ежемесячная стипендия в размере 8600 сомов в месяц;</w:t>
      </w:r>
    </w:p>
    <w:p w14:paraId="28E19832">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2000 стажеров должны быть трудоустроены;</w:t>
      </w:r>
    </w:p>
    <w:p w14:paraId="71988510">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обучение и стажировка проводится в любой организации/предприятии/ИП независимо от формы собственности. </w:t>
      </w:r>
    </w:p>
    <w:p w14:paraId="0730BCE9">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Основные участники пилота:</w:t>
      </w:r>
    </w:p>
    <w:p w14:paraId="73CBF26F">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 городские и районные службы занятости; </w:t>
      </w:r>
    </w:p>
    <w:p w14:paraId="72208A93">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работодатели, готовые принять молодежь на стажировку;</w:t>
      </w:r>
    </w:p>
    <w:p w14:paraId="65712C26">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органы местного самоуправления;</w:t>
      </w:r>
    </w:p>
    <w:p w14:paraId="41B7ACA9">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образовательные учреждения;</w:t>
      </w:r>
    </w:p>
    <w:p w14:paraId="3E6796BA">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ищущие работу молодые люди в возрасте от 16 до 35 лет, официально зарегистрированные в службах занятости в качестве безработных или ищущих работу.</w:t>
      </w:r>
    </w:p>
    <w:p w14:paraId="105A0040">
      <w:pPr>
        <w:suppressAutoHyphens/>
        <w:spacing w:after="0" w:line="240" w:lineRule="auto"/>
        <w:ind w:firstLine="567"/>
        <w:jc w:val="both"/>
        <w:rPr>
          <w:rFonts w:ascii="Times New Roman" w:hAnsi="Times New Roman" w:eastAsia="Calibri" w:cs="Times New Roman"/>
          <w:bCs/>
          <w:color w:val="FF0000"/>
          <w:sz w:val="24"/>
          <w:szCs w:val="24"/>
        </w:rPr>
      </w:pPr>
      <w:r>
        <w:rPr>
          <w:rFonts w:ascii="Times New Roman" w:hAnsi="Times New Roman" w:eastAsia="Calibri" w:cs="Times New Roman"/>
          <w:bCs/>
          <w:sz w:val="24"/>
          <w:szCs w:val="24"/>
        </w:rPr>
        <w:t>Согласно промежуточным результатам по состоянию на 15.01.2026г. на стажировку было направлено 1851 безработных молодых людей, из них 1332 молодых человека были трудоустроены. 501 работодатель приняли молодежь на стажировку, где ребята смогли получить первоначальный практический опыт по 52 профессиям. С целью привлечения заинтересованных сторон для участия в пилоте была запущена информационная кампания, которая распространяет информацию и ролики через различные каналы коммуникации.</w:t>
      </w:r>
    </w:p>
    <w:p w14:paraId="526D5640">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Стоит отметить, что стажировка является новым инструментом активных мер занятости молодежи, и в период её реализации перед сотрудниками пилотных территориальных служб занятости возникли трудности с тем, что не так активно молодежь и работодатели включаются в пилот. На местах наблюдается недостаточная активность со стороны участников процесса - работодатели, молодежь, образовательные учреждения, местные органы власти. У сотрудников служб занятости недостаточно времени на индивидуальную работу с каждым участником программы, отсутствует заинтересованность работодателей и молодежи в стажировке. При этом, согласно квоте наибольшее количество молодых людей, которых требуется направить на профобучение и стажировку утверждена для г.Бишкек.</w:t>
      </w:r>
    </w:p>
    <w:p w14:paraId="00F5E84D">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В этой связи, а также в целях </w:t>
      </w:r>
      <w:r>
        <w:rPr>
          <w:rFonts w:ascii="Times New Roman" w:hAnsi="Times New Roman" w:eastAsia="Calibri" w:cs="Times New Roman"/>
          <w:bCs/>
          <w:iCs/>
          <w:sz w:val="24"/>
          <w:szCs w:val="24"/>
          <w:lang w:val="ky-KG"/>
        </w:rPr>
        <w:t>содействия интеграции молодежи на рынок труда и повышения заинтересованности работодателей в программах стажировки</w:t>
      </w:r>
      <w:r>
        <w:rPr>
          <w:rFonts w:ascii="Times New Roman" w:hAnsi="Times New Roman" w:eastAsia="Calibri" w:cs="Times New Roman"/>
          <w:bCs/>
          <w:sz w:val="24"/>
          <w:szCs w:val="24"/>
        </w:rPr>
        <w:t xml:space="preserve">, МТСОМ КР планирует привлечь 4-х индивидуальных региональных консультантов для оказания методической и организационной технической поддержки Бишкекскому городскому управлению по содействию занятости (далее – БГУСЗ) в реализации программы стажировки. </w:t>
      </w:r>
    </w:p>
    <w:p w14:paraId="1F72D33F">
      <w:pPr>
        <w:spacing w:after="0" w:line="240" w:lineRule="auto"/>
        <w:ind w:firstLine="567"/>
        <w:jc w:val="both"/>
        <w:rPr>
          <w:rFonts w:ascii="Times New Roman" w:hAnsi="Times New Roman" w:eastAsia="Calibri" w:cs="Times New Roman"/>
          <w:b/>
          <w:bCs/>
          <w:sz w:val="24"/>
          <w:szCs w:val="24"/>
        </w:rPr>
      </w:pPr>
    </w:p>
    <w:p w14:paraId="6320951A">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
          <w:bCs/>
          <w:sz w:val="24"/>
          <w:szCs w:val="24"/>
          <w:u w:val="single"/>
        </w:rPr>
        <w:t>Цель</w:t>
      </w:r>
      <w:r>
        <w:rPr>
          <w:rFonts w:ascii="Times New Roman" w:hAnsi="Times New Roman" w:eastAsia="Calibri" w:cs="Times New Roman"/>
          <w:bCs/>
          <w:sz w:val="24"/>
          <w:szCs w:val="24"/>
        </w:rPr>
        <w:t xml:space="preserve"> – оказание организационного, методического и координационного содействия </w:t>
      </w:r>
      <w:r>
        <w:rPr>
          <w:rFonts w:ascii="Times New Roman" w:hAnsi="Times New Roman" w:eastAsia="Calibri" w:cs="Times New Roman"/>
          <w:bCs/>
          <w:sz w:val="24"/>
          <w:szCs w:val="24"/>
          <w:lang w:val="ky-KG"/>
        </w:rPr>
        <w:t>по</w:t>
      </w:r>
      <w:r>
        <w:rPr>
          <w:rFonts w:hint="default" w:ascii="Times New Roman" w:hAnsi="Times New Roman" w:eastAsia="Calibri" w:cs="Times New Roman"/>
          <w:bCs/>
          <w:sz w:val="24"/>
          <w:szCs w:val="24"/>
          <w:lang w:val="ky-KG"/>
        </w:rPr>
        <w:t xml:space="preserve"> реализации </w:t>
      </w:r>
      <w:r>
        <w:rPr>
          <w:rFonts w:ascii="Times New Roman" w:hAnsi="Times New Roman" w:eastAsia="Calibri" w:cs="Times New Roman"/>
          <w:bCs/>
          <w:sz w:val="24"/>
          <w:szCs w:val="24"/>
        </w:rPr>
        <w:t>программ</w:t>
      </w:r>
      <w:r>
        <w:rPr>
          <w:rFonts w:ascii="Times New Roman" w:hAnsi="Times New Roman" w:eastAsia="Calibri" w:cs="Times New Roman"/>
          <w:bCs/>
          <w:sz w:val="24"/>
          <w:szCs w:val="24"/>
          <w:lang w:val="ky-KG"/>
        </w:rPr>
        <w:t>ы</w:t>
      </w:r>
      <w:r>
        <w:rPr>
          <w:rFonts w:ascii="Times New Roman" w:hAnsi="Times New Roman" w:eastAsia="Calibri" w:cs="Times New Roman"/>
          <w:bCs/>
          <w:sz w:val="24"/>
          <w:szCs w:val="24"/>
        </w:rPr>
        <w:t xml:space="preserve"> молодежной стажировки в целях повышения ее эффективности, расширения участия </w:t>
      </w:r>
      <w:r>
        <w:rPr>
          <w:rFonts w:ascii="Times New Roman" w:hAnsi="Times New Roman" w:eastAsia="Calibri" w:cs="Times New Roman"/>
          <w:bCs/>
          <w:sz w:val="24"/>
          <w:szCs w:val="24"/>
          <w:lang w:val="ky-KG"/>
        </w:rPr>
        <w:t>в</w:t>
      </w:r>
      <w:r>
        <w:rPr>
          <w:rFonts w:hint="default" w:ascii="Times New Roman" w:hAnsi="Times New Roman" w:eastAsia="Calibri" w:cs="Times New Roman"/>
          <w:bCs/>
          <w:sz w:val="24"/>
          <w:szCs w:val="24"/>
          <w:lang w:val="ky-KG"/>
        </w:rPr>
        <w:t xml:space="preserve"> данной программе </w:t>
      </w:r>
      <w:r>
        <w:rPr>
          <w:rFonts w:ascii="Times New Roman" w:hAnsi="Times New Roman" w:eastAsia="Calibri" w:cs="Times New Roman"/>
          <w:bCs/>
          <w:sz w:val="24"/>
          <w:szCs w:val="24"/>
        </w:rPr>
        <w:t>местных органов власти, работодателей</w:t>
      </w:r>
      <w:r>
        <w:rPr>
          <w:rFonts w:hint="default" w:ascii="Times New Roman" w:hAnsi="Times New Roman" w:eastAsia="Calibri" w:cs="Times New Roman"/>
          <w:bCs/>
          <w:sz w:val="24"/>
          <w:szCs w:val="24"/>
          <w:lang w:val="ky-KG"/>
        </w:rPr>
        <w:t>,</w:t>
      </w:r>
      <w:r>
        <w:rPr>
          <w:rFonts w:ascii="Times New Roman" w:hAnsi="Times New Roman" w:eastAsia="Calibri" w:cs="Times New Roman"/>
          <w:bCs/>
          <w:sz w:val="24"/>
          <w:szCs w:val="24"/>
        </w:rPr>
        <w:t xml:space="preserve"> образовательных учреждений, </w:t>
      </w:r>
      <w:r>
        <w:rPr>
          <w:rFonts w:ascii="Times New Roman" w:hAnsi="Times New Roman" w:eastAsia="Calibri" w:cs="Times New Roman"/>
          <w:bCs/>
          <w:sz w:val="24"/>
          <w:szCs w:val="24"/>
          <w:lang w:val="ky-KG"/>
        </w:rPr>
        <w:t>молодежи</w:t>
      </w:r>
      <w:r>
        <w:rPr>
          <w:rFonts w:hint="default" w:ascii="Times New Roman" w:hAnsi="Times New Roman" w:eastAsia="Calibri" w:cs="Times New Roman"/>
          <w:bCs/>
          <w:sz w:val="24"/>
          <w:szCs w:val="24"/>
          <w:lang w:val="ky-KG"/>
        </w:rPr>
        <w:t xml:space="preserve"> для </w:t>
      </w:r>
      <w:r>
        <w:rPr>
          <w:rFonts w:ascii="Times New Roman" w:hAnsi="Times New Roman" w:eastAsia="Calibri" w:cs="Times New Roman"/>
          <w:bCs/>
          <w:sz w:val="24"/>
          <w:szCs w:val="24"/>
        </w:rPr>
        <w:t>успешной интеграции молодежи на рынок труда в г.Бишкек.</w:t>
      </w:r>
    </w:p>
    <w:p w14:paraId="1A48305F">
      <w:pPr>
        <w:spacing w:after="0" w:line="240" w:lineRule="auto"/>
        <w:ind w:firstLine="567"/>
        <w:jc w:val="both"/>
        <w:rPr>
          <w:rFonts w:ascii="Times New Roman" w:hAnsi="Times New Roman" w:eastAsia="Calibri" w:cs="Times New Roman"/>
          <w:bCs/>
          <w:iCs/>
          <w:sz w:val="24"/>
          <w:szCs w:val="24"/>
          <w:lang w:val="ky-KG"/>
        </w:rPr>
      </w:pPr>
    </w:p>
    <w:p w14:paraId="084DAF9D">
      <w:pPr>
        <w:spacing w:after="0" w:line="240" w:lineRule="auto"/>
        <w:ind w:left="1090" w:hanging="523"/>
        <w:jc w:val="both"/>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Объем и содержание работ</w:t>
      </w:r>
    </w:p>
    <w:p w14:paraId="5694AE7E">
      <w:pPr>
        <w:tabs>
          <w:tab w:val="left" w:pos="993"/>
        </w:tabs>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rPr>
        <w:t>Отобранные консультант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будут оказывать содействие БГУСЗ по следующим направлениям:</w:t>
      </w:r>
    </w:p>
    <w:p w14:paraId="20F7009A">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взаимодействие с местными органами власти, работодателями (включая бизнес-ассоциации), образовательными учреждениями и молодежью (далее – участники программы) с целью вовлечения их в программу стажировок;</w:t>
      </w:r>
    </w:p>
    <w:p w14:paraId="3EDECBD8">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оказание организационной и методической поддержки в реализации программы стажировок, включая планирование, разработка механизмов взаимодействия с участниками программы, мониторинг, оценка и др.;</w:t>
      </w:r>
    </w:p>
    <w:p w14:paraId="78203125">
      <w:pPr>
        <w:spacing w:after="0" w:line="240" w:lineRule="auto"/>
        <w:ind w:firstLine="567"/>
        <w:jc w:val="both"/>
        <w:rPr>
          <w:rFonts w:hint="default"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продвижение</w:t>
      </w:r>
      <w:r>
        <w:rPr>
          <w:rFonts w:hint="default" w:ascii="Times New Roman" w:hAnsi="Times New Roman" w:eastAsia="Calibri" w:cs="Times New Roman"/>
          <w:bCs/>
          <w:iCs/>
          <w:sz w:val="24"/>
          <w:szCs w:val="24"/>
          <w:lang w:val="ky-KG"/>
        </w:rPr>
        <w:t xml:space="preserve"> и коммуникации (ведение информационной кампании, организация информационных встреч и мероприятий т др.);</w:t>
      </w:r>
    </w:p>
    <w:p w14:paraId="11E3D7CF">
      <w:pPr>
        <w:spacing w:after="0" w:line="240" w:lineRule="auto"/>
        <w:ind w:firstLine="567"/>
        <w:jc w:val="both"/>
        <w:rPr>
          <w:rFonts w:ascii="Times New Roman" w:hAnsi="Times New Roman" w:eastAsia="Calibri" w:cs="Times New Roman"/>
          <w:bCs/>
          <w:iCs/>
          <w:sz w:val="24"/>
          <w:szCs w:val="24"/>
          <w:lang w:val="ky-KG"/>
        </w:rPr>
      </w:pPr>
      <w:r>
        <w:rPr>
          <w:rFonts w:hint="default"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lang w:val="ky-KG"/>
        </w:rPr>
        <w:t>консультирование и</w:t>
      </w:r>
      <w:r>
        <w:rPr>
          <w:rFonts w:hint="default" w:ascii="Times New Roman" w:hAnsi="Times New Roman" w:eastAsia="Calibri" w:cs="Times New Roman"/>
          <w:bCs/>
          <w:iCs/>
          <w:sz w:val="24"/>
          <w:szCs w:val="24"/>
          <w:lang w:val="ky-KG"/>
        </w:rPr>
        <w:t xml:space="preserve"> привлечение </w:t>
      </w:r>
      <w:r>
        <w:rPr>
          <w:rFonts w:ascii="Times New Roman" w:hAnsi="Times New Roman" w:eastAsia="Calibri" w:cs="Times New Roman"/>
          <w:bCs/>
          <w:iCs/>
          <w:sz w:val="24"/>
          <w:szCs w:val="24"/>
          <w:lang w:val="ky-KG"/>
        </w:rPr>
        <w:t>участников программы в</w:t>
      </w:r>
      <w:r>
        <w:rPr>
          <w:rFonts w:hint="default"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lang w:val="ky-KG"/>
        </w:rPr>
        <w:t>реализацию программы стажировок;</w:t>
      </w:r>
    </w:p>
    <w:p w14:paraId="1F0BC7B2">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контроль за правильностью оформления документации в рамках программы стажировок (договора, сметы</w:t>
      </w:r>
      <w:r>
        <w:rPr>
          <w:rFonts w:hint="default" w:ascii="Times New Roman" w:hAnsi="Times New Roman" w:eastAsia="Calibri" w:cs="Times New Roman"/>
          <w:bCs/>
          <w:iCs/>
          <w:sz w:val="24"/>
          <w:szCs w:val="24"/>
          <w:lang w:val="ky-KG"/>
        </w:rPr>
        <w:t>, заявки</w:t>
      </w:r>
      <w:r>
        <w:rPr>
          <w:rFonts w:ascii="Times New Roman" w:hAnsi="Times New Roman" w:eastAsia="Calibri" w:cs="Times New Roman"/>
          <w:bCs/>
          <w:iCs/>
          <w:sz w:val="24"/>
          <w:szCs w:val="24"/>
          <w:lang w:val="ky-KG"/>
        </w:rPr>
        <w:t xml:space="preserve"> и др.);</w:t>
      </w:r>
    </w:p>
    <w:p w14:paraId="43D6B3C7">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сопровождение участников программы стажировок на всех этапах ее реализации, включая этапы отбора и направления на профобучение, прохождения и завершения стажировки;</w:t>
      </w:r>
    </w:p>
    <w:p w14:paraId="1E7AA5CF">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проведение мониторинга хода реализации программы стажировок, включая сроки и условия прохождения стажировок и процесса обучения молодежи;</w:t>
      </w:r>
    </w:p>
    <w:p w14:paraId="72DB885C">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подготовка отчетности по реализации программы стажировок;</w:t>
      </w:r>
    </w:p>
    <w:p w14:paraId="62B8F016">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выработка рекомендаций по совершенствованию механизмов реализации и повышению эффективности программы молодежной стажировки;</w:t>
      </w:r>
    </w:p>
    <w:p w14:paraId="2DCFEC18">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xml:space="preserve">- выполнение иных функций, необходимых для эффективной реализации программы стажировок. </w:t>
      </w:r>
    </w:p>
    <w:p w14:paraId="0489A30F">
      <w:pPr>
        <w:spacing w:after="0" w:line="240" w:lineRule="auto"/>
        <w:ind w:firstLine="567"/>
        <w:jc w:val="both"/>
        <w:rPr>
          <w:rFonts w:ascii="Times New Roman" w:hAnsi="Times New Roman" w:eastAsia="Calibri" w:cs="Times New Roman"/>
          <w:bCs/>
          <w:iCs/>
          <w:sz w:val="24"/>
          <w:szCs w:val="24"/>
          <w:lang w:val="ky-KG"/>
        </w:rPr>
      </w:pPr>
    </w:p>
    <w:p w14:paraId="6DAD4619">
      <w:pPr>
        <w:spacing w:after="0" w:line="240" w:lineRule="auto"/>
        <w:ind w:left="1090" w:hanging="523"/>
        <w:jc w:val="both"/>
        <w:rPr>
          <w:rFonts w:ascii="Times New Roman" w:hAnsi="Times New Roman" w:eastAsia="Calibri" w:cs="Times New Roman"/>
          <w:b/>
          <w:bCs/>
          <w:sz w:val="24"/>
          <w:szCs w:val="24"/>
          <w:u w:val="single"/>
          <w:lang w:val="ky-KG"/>
        </w:rPr>
      </w:pPr>
      <w:r>
        <w:rPr>
          <w:rFonts w:ascii="Times New Roman" w:hAnsi="Times New Roman" w:eastAsia="Calibri" w:cs="Times New Roman"/>
          <w:b/>
          <w:bCs/>
          <w:sz w:val="24"/>
          <w:szCs w:val="24"/>
          <w:u w:val="single"/>
        </w:rPr>
        <w:t>Требование к отчетности</w:t>
      </w:r>
      <w:r>
        <w:rPr>
          <w:rFonts w:ascii="Times New Roman" w:hAnsi="Times New Roman" w:eastAsia="Calibri" w:cs="Times New Roman"/>
          <w:b/>
          <w:bCs/>
          <w:sz w:val="24"/>
          <w:szCs w:val="24"/>
          <w:u w:val="single"/>
          <w:lang w:val="ky-KG"/>
        </w:rPr>
        <w:t xml:space="preserve"> и ожидаемые результаты</w:t>
      </w:r>
    </w:p>
    <w:p w14:paraId="0841099A">
      <w:pPr>
        <w:spacing w:after="0" w:line="240" w:lineRule="auto"/>
        <w:ind w:firstLine="567"/>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lang w:val="ky-KG"/>
        </w:rPr>
        <w:t>К</w:t>
      </w:r>
      <w:r>
        <w:rPr>
          <w:rFonts w:ascii="Times New Roman" w:hAnsi="Times New Roman" w:eastAsia="Calibri" w:cs="Times New Roman"/>
          <w:bCs/>
          <w:iCs/>
          <w:sz w:val="24"/>
          <w:szCs w:val="24"/>
        </w:rPr>
        <w:t>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долж</w:t>
      </w:r>
      <w:r>
        <w:rPr>
          <w:rFonts w:ascii="Times New Roman" w:hAnsi="Times New Roman" w:eastAsia="Calibri" w:cs="Times New Roman"/>
          <w:bCs/>
          <w:iCs/>
          <w:sz w:val="24"/>
          <w:szCs w:val="24"/>
          <w:lang w:val="ky-KG"/>
        </w:rPr>
        <w:t>ны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полностью</w:t>
      </w:r>
      <w:r>
        <w:rPr>
          <w:rFonts w:ascii="Times New Roman" w:hAnsi="Times New Roman" w:eastAsia="Calibri" w:cs="Times New Roman"/>
          <w:bCs/>
          <w:iCs/>
          <w:sz w:val="24"/>
          <w:szCs w:val="24"/>
        </w:rPr>
        <w:t xml:space="preserve"> выполнять </w:t>
      </w:r>
      <w:r>
        <w:rPr>
          <w:rFonts w:ascii="Times New Roman" w:hAnsi="Times New Roman" w:eastAsia="Calibri" w:cs="Times New Roman"/>
          <w:bCs/>
          <w:iCs/>
          <w:sz w:val="24"/>
          <w:szCs w:val="24"/>
          <w:lang w:val="ky-KG"/>
        </w:rPr>
        <w:t xml:space="preserve">намеченную </w:t>
      </w:r>
      <w:r>
        <w:rPr>
          <w:rFonts w:ascii="Times New Roman" w:hAnsi="Times New Roman" w:eastAsia="Calibri" w:cs="Times New Roman"/>
          <w:bCs/>
          <w:iCs/>
          <w:sz w:val="24"/>
          <w:szCs w:val="24"/>
        </w:rPr>
        <w:t>работу и своевременно представлять ежемесячные</w:t>
      </w:r>
      <w:r>
        <w:rPr>
          <w:rFonts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rPr>
        <w:t>и другие отчеты.</w:t>
      </w:r>
    </w:p>
    <w:p w14:paraId="2B671994">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lang w:val="ky-KG"/>
        </w:rPr>
        <w:t xml:space="preserve">Кроме того, консультанты ответственны за разработку следующих итоговых документов, </w:t>
      </w:r>
      <w:r>
        <w:rPr>
          <w:rFonts w:ascii="Times New Roman" w:hAnsi="Times New Roman" w:eastAsia="Calibri" w:cs="Times New Roman"/>
          <w:bCs/>
          <w:sz w:val="24"/>
          <w:szCs w:val="24"/>
        </w:rPr>
        <w:t>согласованных с начальник</w:t>
      </w:r>
      <w:r>
        <w:rPr>
          <w:rFonts w:ascii="Times New Roman" w:hAnsi="Times New Roman" w:eastAsia="Calibri" w:cs="Times New Roman"/>
          <w:bCs/>
          <w:sz w:val="24"/>
          <w:szCs w:val="24"/>
          <w:lang w:val="ky-KG"/>
        </w:rPr>
        <w:t>ом</w:t>
      </w:r>
      <w:r>
        <w:rPr>
          <w:rFonts w:ascii="Times New Roman" w:hAnsi="Times New Roman" w:eastAsia="Calibri" w:cs="Times New Roman"/>
          <w:bCs/>
          <w:sz w:val="24"/>
          <w:szCs w:val="24"/>
        </w:rPr>
        <w:t xml:space="preserve"> БГУСЗ</w:t>
      </w:r>
      <w:r>
        <w:rPr>
          <w:rFonts w:ascii="Times New Roman" w:hAnsi="Times New Roman" w:eastAsia="Calibri" w:cs="Times New Roman"/>
          <w:bCs/>
          <w:sz w:val="24"/>
          <w:szCs w:val="24"/>
          <w:lang w:val="ky-KG"/>
        </w:rPr>
        <w:t xml:space="preserve"> и главным консультантом подкомпонента</w:t>
      </w:r>
      <w:r>
        <w:rPr>
          <w:rFonts w:ascii="Times New Roman" w:hAnsi="Times New Roman" w:eastAsia="Calibri" w:cs="Times New Roman"/>
          <w:bCs/>
          <w:sz w:val="24"/>
          <w:szCs w:val="24"/>
        </w:rPr>
        <w:t>:</w:t>
      </w:r>
    </w:p>
    <w:p w14:paraId="2D4D1D35">
      <w:pPr>
        <w:pStyle w:val="6"/>
        <w:numPr>
          <w:ilvl w:val="0"/>
          <w:numId w:val="2"/>
        </w:numPr>
        <w:ind w:left="284" w:hanging="284"/>
        <w:contextualSpacing w:val="0"/>
        <w:jc w:val="both"/>
        <w:rPr>
          <w:rFonts w:eastAsia="Calibri"/>
          <w:bCs/>
          <w:lang w:val="ru-RU"/>
        </w:rPr>
      </w:pPr>
      <w:r>
        <w:rPr>
          <w:rFonts w:eastAsia="Calibri"/>
          <w:bCs/>
          <w:lang w:val="ru-RU"/>
        </w:rPr>
        <w:t>индивидуальный календарный график работы, не позднее 1-ой недели с момента подписания контракта;</w:t>
      </w:r>
    </w:p>
    <w:p w14:paraId="026636F3">
      <w:pPr>
        <w:pStyle w:val="6"/>
        <w:numPr>
          <w:ilvl w:val="0"/>
          <w:numId w:val="2"/>
        </w:numPr>
        <w:ind w:left="284" w:hanging="284"/>
        <w:contextualSpacing w:val="0"/>
        <w:jc w:val="both"/>
        <w:rPr>
          <w:rFonts w:eastAsia="Calibri"/>
          <w:bCs/>
          <w:lang w:val="ru-RU"/>
        </w:rPr>
      </w:pPr>
      <w:r>
        <w:rPr>
          <w:rFonts w:eastAsia="Calibri"/>
          <w:bCs/>
          <w:lang w:val="ru-RU"/>
        </w:rPr>
        <w:t>методические инструкции для БГУСЗ по механизмам взаимодействия с участниками программы стажировок, мониторингу и оценке, не позднее 1-го месяца с момента подписания контракта;</w:t>
      </w:r>
    </w:p>
    <w:p w14:paraId="02BCDCDF">
      <w:pPr>
        <w:pStyle w:val="6"/>
        <w:numPr>
          <w:ilvl w:val="0"/>
          <w:numId w:val="2"/>
        </w:numPr>
        <w:ind w:left="284" w:hanging="284"/>
        <w:contextualSpacing w:val="0"/>
        <w:jc w:val="both"/>
        <w:rPr>
          <w:rFonts w:eastAsia="Calibri"/>
          <w:bCs/>
          <w:lang w:val="ru-RU"/>
        </w:rPr>
      </w:pPr>
      <w:r>
        <w:rPr>
          <w:rFonts w:eastAsia="Calibri"/>
          <w:bCs/>
          <w:lang w:val="ru-RU"/>
        </w:rPr>
        <w:t>рекомендации по итогам выборочного опроса работодателей и бенефициаров для определения своевременной поддержки программы стажировок, не позднее 4-х месяцев с момента подписания контракта;</w:t>
      </w:r>
    </w:p>
    <w:p w14:paraId="01BFD40E">
      <w:pPr>
        <w:pStyle w:val="6"/>
        <w:numPr>
          <w:ilvl w:val="0"/>
          <w:numId w:val="2"/>
        </w:numPr>
        <w:ind w:left="284" w:hanging="284"/>
        <w:contextualSpacing w:val="0"/>
        <w:jc w:val="both"/>
        <w:rPr>
          <w:rFonts w:eastAsia="Calibri"/>
          <w:bCs/>
          <w:lang w:val="ru-RU"/>
        </w:rPr>
      </w:pPr>
      <w:r>
        <w:rPr>
          <w:rFonts w:eastAsia="Calibri"/>
          <w:bCs/>
          <w:lang w:val="ru-RU"/>
        </w:rPr>
        <w:t xml:space="preserve">рекомендации по улучшению процесса реализации программы молодежной стажировки, не позднее 5-ти месяцев с момента подписания контракта. </w:t>
      </w:r>
    </w:p>
    <w:p w14:paraId="0F4FCD07">
      <w:pPr>
        <w:spacing w:after="0" w:line="240" w:lineRule="auto"/>
        <w:ind w:firstLine="567"/>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 xml:space="preserve">Ежемесячные отчеты должны содержать информацию о реализации подкомпонента, показывающие проблемы, извлеченные уроки, общие выводы и рекомендации, и должны быть одобрены начальником БГУСЗ и главным консультантом подкомпонента. Ежемесячные отчеты утверждаются </w:t>
      </w:r>
      <w:r>
        <w:rPr>
          <w:rFonts w:ascii="Times New Roman" w:hAnsi="Times New Roman" w:eastAsia="Calibri" w:cs="Times New Roman"/>
          <w:bCs/>
          <w:iCs/>
          <w:sz w:val="24"/>
          <w:szCs w:val="24"/>
          <w:lang w:val="ky-KG"/>
        </w:rPr>
        <w:t>н</w:t>
      </w:r>
      <w:r>
        <w:rPr>
          <w:rFonts w:ascii="Times New Roman" w:hAnsi="Times New Roman" w:eastAsia="Calibri" w:cs="Times New Roman"/>
          <w:bCs/>
          <w:sz w:val="24"/>
          <w:szCs w:val="24"/>
        </w:rPr>
        <w:t>ациональным координатором проекта</w:t>
      </w:r>
      <w:r>
        <w:rPr>
          <w:rFonts w:ascii="Times New Roman" w:hAnsi="Times New Roman" w:eastAsia="Calibri" w:cs="Times New Roman"/>
          <w:bCs/>
          <w:sz w:val="24"/>
          <w:szCs w:val="24"/>
          <w:lang w:val="ky-KG"/>
        </w:rPr>
        <w:t xml:space="preserve">, после согласования с менеджером ОРП, </w:t>
      </w:r>
      <w:r>
        <w:rPr>
          <w:rFonts w:ascii="Times New Roman" w:hAnsi="Times New Roman" w:eastAsia="Calibri" w:cs="Times New Roman"/>
          <w:bCs/>
          <w:sz w:val="24"/>
          <w:szCs w:val="24"/>
        </w:rPr>
        <w:t>начальниками соответствующего структурного подразделения МТСОМ КР и БГУСЗ</w:t>
      </w:r>
      <w:r>
        <w:rPr>
          <w:rFonts w:ascii="Times New Roman" w:hAnsi="Times New Roman" w:eastAsia="Calibri" w:cs="Times New Roman"/>
          <w:bCs/>
          <w:sz w:val="24"/>
          <w:szCs w:val="24"/>
          <w:lang w:val="ky-KG"/>
        </w:rPr>
        <w:t xml:space="preserve">, главным консультантом </w:t>
      </w:r>
      <w:r>
        <w:rPr>
          <w:rFonts w:ascii="Times New Roman" w:hAnsi="Times New Roman" w:eastAsia="Calibri" w:cs="Times New Roman"/>
          <w:bCs/>
          <w:sz w:val="24"/>
          <w:szCs w:val="24"/>
        </w:rPr>
        <w:t>подкомпонента</w:t>
      </w:r>
      <w:r>
        <w:rPr>
          <w:rFonts w:ascii="Times New Roman" w:hAnsi="Times New Roman" w:eastAsia="Calibri" w:cs="Times New Roman"/>
          <w:bCs/>
          <w:sz w:val="24"/>
          <w:szCs w:val="24"/>
          <w:lang w:val="ky-KG"/>
        </w:rPr>
        <w:t>.</w:t>
      </w:r>
    </w:p>
    <w:p w14:paraId="68591592">
      <w:pPr>
        <w:spacing w:after="0" w:line="240" w:lineRule="auto"/>
        <w:ind w:firstLine="567"/>
        <w:jc w:val="both"/>
        <w:rPr>
          <w:rFonts w:ascii="Times New Roman" w:hAnsi="Times New Roman" w:eastAsia="Calibri" w:cs="Times New Roman"/>
          <w:bCs/>
          <w:sz w:val="24"/>
          <w:szCs w:val="24"/>
          <w:lang w:val="ky-KG"/>
        </w:rPr>
      </w:pPr>
    </w:p>
    <w:p w14:paraId="3C9D6CBD">
      <w:pPr>
        <w:spacing w:after="0" w:line="240" w:lineRule="auto"/>
        <w:ind w:firstLine="567"/>
        <w:jc w:val="both"/>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Институциональные механизмы</w:t>
      </w:r>
    </w:p>
    <w:p w14:paraId="77F8DEEE">
      <w:pPr>
        <w:spacing w:after="0" w:line="240" w:lineRule="auto"/>
        <w:ind w:firstLine="567"/>
        <w:jc w:val="both"/>
        <w:rPr>
          <w:rFonts w:ascii="Times New Roman" w:hAnsi="Times New Roman" w:eastAsia="Calibri" w:cs="Times New Roman"/>
          <w:bCs/>
          <w:sz w:val="24"/>
          <w:szCs w:val="24"/>
          <w:lang w:val="ky-KG"/>
        </w:rPr>
      </w:pPr>
      <w:r>
        <w:rPr>
          <w:rFonts w:ascii="Times New Roman" w:hAnsi="Times New Roman" w:eastAsia="Calibri" w:cs="Times New Roman"/>
          <w:bCs/>
          <w:iCs/>
          <w:sz w:val="24"/>
          <w:szCs w:val="24"/>
        </w:rPr>
        <w:t>Консультант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будут работать под руководством н</w:t>
      </w:r>
      <w:r>
        <w:rPr>
          <w:rFonts w:ascii="Times New Roman" w:hAnsi="Times New Roman" w:eastAsia="Calibri" w:cs="Times New Roman"/>
          <w:bCs/>
          <w:sz w:val="24"/>
          <w:szCs w:val="24"/>
        </w:rPr>
        <w:t>ациональн</w:t>
      </w:r>
      <w:r>
        <w:rPr>
          <w:rFonts w:ascii="Times New Roman" w:hAnsi="Times New Roman" w:eastAsia="Calibri" w:cs="Times New Roman"/>
          <w:bCs/>
          <w:sz w:val="24"/>
          <w:szCs w:val="24"/>
          <w:lang w:val="ky-KG"/>
        </w:rPr>
        <w:t>ого</w:t>
      </w:r>
      <w:r>
        <w:rPr>
          <w:rFonts w:ascii="Times New Roman" w:hAnsi="Times New Roman" w:eastAsia="Calibri" w:cs="Times New Roman"/>
          <w:bCs/>
          <w:sz w:val="24"/>
          <w:szCs w:val="24"/>
        </w:rPr>
        <w:t xml:space="preserve"> координатор</w:t>
      </w:r>
      <w:r>
        <w:rPr>
          <w:rFonts w:ascii="Times New Roman" w:hAnsi="Times New Roman" w:eastAsia="Calibri" w:cs="Times New Roman"/>
          <w:bCs/>
          <w:sz w:val="24"/>
          <w:szCs w:val="24"/>
          <w:lang w:val="ky-KG"/>
        </w:rPr>
        <w:t>а</w:t>
      </w:r>
      <w:r>
        <w:rPr>
          <w:rFonts w:ascii="Times New Roman" w:hAnsi="Times New Roman" w:eastAsia="Calibri" w:cs="Times New Roman"/>
          <w:bCs/>
          <w:sz w:val="24"/>
          <w:szCs w:val="24"/>
        </w:rPr>
        <w:t xml:space="preserve"> проекта</w:t>
      </w:r>
      <w:r>
        <w:rPr>
          <w:rFonts w:ascii="Times New Roman" w:hAnsi="Times New Roman" w:eastAsia="Calibri" w:cs="Times New Roman"/>
          <w:bCs/>
          <w:sz w:val="24"/>
          <w:szCs w:val="24"/>
          <w:lang w:val="ky-KG"/>
        </w:rPr>
        <w:t xml:space="preserve">, менеджера ОРП, </w:t>
      </w:r>
      <w:r>
        <w:rPr>
          <w:rFonts w:ascii="Times New Roman" w:hAnsi="Times New Roman" w:eastAsia="Calibri" w:cs="Times New Roman"/>
          <w:bCs/>
          <w:sz w:val="24"/>
          <w:szCs w:val="24"/>
        </w:rPr>
        <w:t>начальник</w:t>
      </w:r>
      <w:r>
        <w:rPr>
          <w:rFonts w:ascii="Times New Roman" w:hAnsi="Times New Roman" w:eastAsia="Calibri" w:cs="Times New Roman"/>
          <w:bCs/>
          <w:sz w:val="24"/>
          <w:szCs w:val="24"/>
          <w:lang w:val="ky-KG"/>
        </w:rPr>
        <w:t>а</w:t>
      </w:r>
      <w:r>
        <w:rPr>
          <w:rFonts w:ascii="Times New Roman" w:hAnsi="Times New Roman" w:eastAsia="Calibri" w:cs="Times New Roman"/>
          <w:bCs/>
          <w:sz w:val="24"/>
          <w:szCs w:val="24"/>
        </w:rPr>
        <w:t xml:space="preserve"> БГУСЗ</w:t>
      </w:r>
      <w:r>
        <w:rPr>
          <w:rFonts w:ascii="Times New Roman" w:hAnsi="Times New Roman" w:eastAsia="Calibri" w:cs="Times New Roman"/>
          <w:bCs/>
          <w:sz w:val="24"/>
          <w:szCs w:val="24"/>
          <w:lang w:val="ky-KG"/>
        </w:rPr>
        <w:t xml:space="preserve">, главного консультанта </w:t>
      </w:r>
      <w:r>
        <w:rPr>
          <w:rFonts w:ascii="Times New Roman" w:hAnsi="Times New Roman" w:eastAsia="Calibri" w:cs="Times New Roman"/>
          <w:bCs/>
          <w:sz w:val="24"/>
          <w:szCs w:val="24"/>
        </w:rPr>
        <w:t xml:space="preserve">подкомпонента. </w:t>
      </w:r>
    </w:p>
    <w:p w14:paraId="4AA7D6AC">
      <w:pPr>
        <w:spacing w:after="0" w:line="240" w:lineRule="auto"/>
        <w:jc w:val="both"/>
        <w:rPr>
          <w:rFonts w:ascii="Times New Roman" w:hAnsi="Times New Roman" w:eastAsia="Calibri" w:cs="Times New Roman"/>
          <w:b/>
          <w:bCs/>
          <w:sz w:val="24"/>
          <w:szCs w:val="24"/>
          <w:lang w:val="ky-KG"/>
        </w:rPr>
      </w:pPr>
    </w:p>
    <w:p w14:paraId="0112FC85">
      <w:pPr>
        <w:spacing w:after="0" w:line="240" w:lineRule="auto"/>
        <w:ind w:firstLine="567"/>
        <w:jc w:val="both"/>
        <w:rPr>
          <w:rFonts w:ascii="Times New Roman" w:hAnsi="Times New Roman" w:eastAsia="Calibri" w:cs="Times New Roman"/>
          <w:bCs/>
          <w:color w:val="000000" w:themeColor="text1"/>
          <w:sz w:val="24"/>
          <w:szCs w:val="24"/>
          <w14:textFill>
            <w14:solidFill>
              <w14:schemeClr w14:val="tx1"/>
            </w14:solidFill>
          </w14:textFill>
        </w:rPr>
      </w:pPr>
      <w:bookmarkStart w:id="0" w:name="_Hlk163145966"/>
      <w:r>
        <w:rPr>
          <w:rFonts w:ascii="Times New Roman" w:hAnsi="Times New Roman" w:cs="Times New Roman"/>
          <w:b/>
          <w:color w:val="000000" w:themeColor="text1"/>
          <w:sz w:val="24"/>
          <w:szCs w:val="24"/>
          <w:u w:val="single"/>
          <w14:textFill>
            <w14:solidFill>
              <w14:schemeClr w14:val="tx1"/>
            </w14:solidFill>
          </w14:textFill>
        </w:rPr>
        <w:t>Срок</w:t>
      </w:r>
      <w:r>
        <w:rPr>
          <w:rFonts w:ascii="Times New Roman" w:hAnsi="Times New Roman" w:cs="Times New Roman"/>
          <w:b/>
          <w:color w:val="000000" w:themeColor="text1"/>
          <w:sz w:val="24"/>
          <w:szCs w:val="24"/>
          <w:u w:val="single"/>
          <w:lang w:val="ky-KG"/>
          <w14:textFill>
            <w14:solidFill>
              <w14:schemeClr w14:val="tx1"/>
            </w14:solidFill>
          </w14:textFill>
        </w:rPr>
        <w:t xml:space="preserve"> действия договора</w:t>
      </w:r>
      <w:r>
        <w:rPr>
          <w:rFonts w:ascii="Times New Roman" w:hAnsi="Times New Roman" w:cs="Times New Roman"/>
          <w:b/>
          <w:color w:val="000000" w:themeColor="text1"/>
          <w:sz w:val="24"/>
          <w:szCs w:val="24"/>
          <w:lang w:val="ky-KG"/>
          <w14:textFill>
            <w14:solidFill>
              <w14:schemeClr w14:val="tx1"/>
            </w14:solidFill>
          </w14:textFill>
        </w:rPr>
        <w:t xml:space="preserve"> </w:t>
      </w:r>
      <w:bookmarkEnd w:id="0"/>
      <w:r>
        <w:rPr>
          <w:rFonts w:ascii="Times New Roman" w:hAnsi="Times New Roman" w:cs="Times New Roman"/>
          <w:color w:val="000000" w:themeColor="text1"/>
          <w:sz w:val="24"/>
          <w:szCs w:val="24"/>
          <w:lang w:val="ky-KG"/>
          <w14:textFill>
            <w14:solidFill>
              <w14:schemeClr w14:val="tx1"/>
            </w14:solidFill>
          </w14:textFill>
        </w:rPr>
        <w:t>на каждого консультанта</w:t>
      </w:r>
      <w:r>
        <w:rPr>
          <w:rFonts w:ascii="Times New Roman" w:hAnsi="Times New Roman" w:cs="Times New Roman"/>
          <w:b/>
          <w:color w:val="000000" w:themeColor="text1"/>
          <w:sz w:val="24"/>
          <w:szCs w:val="24"/>
          <w:lang w:val="ky-KG"/>
          <w14:textFill>
            <w14:solidFill>
              <w14:schemeClr w14:val="tx1"/>
            </w14:solidFill>
          </w14:textFill>
        </w:rPr>
        <w:t xml:space="preserve"> </w:t>
      </w:r>
      <w:r>
        <w:rPr>
          <w:rFonts w:ascii="Times New Roman" w:hAnsi="Times New Roman" w:cs="Times New Roman"/>
          <w:color w:val="000000" w:themeColor="text1"/>
          <w:sz w:val="24"/>
          <w:szCs w:val="24"/>
          <w:lang w:val="ky-KG"/>
          <w14:textFill>
            <w14:solidFill>
              <w14:schemeClr w14:val="tx1"/>
            </w14:solidFill>
          </w14:textFill>
        </w:rPr>
        <w:t xml:space="preserve">составляет </w:t>
      </w:r>
      <w:r>
        <w:rPr>
          <w:rFonts w:ascii="Times New Roman" w:hAnsi="Times New Roman" w:eastAsia="Calibri" w:cs="Times New Roman"/>
          <w:bCs/>
          <w:color w:val="000000" w:themeColor="text1"/>
          <w:sz w:val="24"/>
          <w:szCs w:val="24"/>
          <w14:textFill>
            <w14:solidFill>
              <w14:schemeClr w14:val="tx1"/>
            </w14:solidFill>
          </w14:textFill>
        </w:rPr>
        <w:t>6 месяцев с трехмесячным испытательным сроком.</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(полный рабочий день)</w:t>
      </w:r>
      <w:r>
        <w:rPr>
          <w:rFonts w:ascii="Times New Roman" w:hAnsi="Times New Roman" w:eastAsia="Calibri" w:cs="Times New Roman"/>
          <w:bCs/>
          <w:color w:val="000000" w:themeColor="text1"/>
          <w:sz w:val="24"/>
          <w:szCs w:val="24"/>
          <w14:textFill>
            <w14:solidFill>
              <w14:schemeClr w14:val="tx1"/>
            </w14:solidFill>
          </w14:textFill>
        </w:rPr>
        <w:t xml:space="preserve"> </w:t>
      </w:r>
    </w:p>
    <w:p w14:paraId="65082080">
      <w:pPr>
        <w:spacing w:after="0" w:line="240" w:lineRule="auto"/>
        <w:jc w:val="both"/>
        <w:rPr>
          <w:rFonts w:ascii="Times New Roman" w:hAnsi="Times New Roman" w:eastAsia="Calibri" w:cs="Times New Roman"/>
          <w:bCs/>
          <w:sz w:val="24"/>
          <w:szCs w:val="24"/>
          <w:lang w:val="ky-KG"/>
        </w:rPr>
      </w:pPr>
    </w:p>
    <w:p w14:paraId="03D3BAA0">
      <w:pPr>
        <w:spacing w:after="0" w:line="240" w:lineRule="auto"/>
        <w:ind w:left="1276" w:hanging="709"/>
        <w:jc w:val="both"/>
        <w:rPr>
          <w:rFonts w:hint="default" w:ascii="Times New Roman" w:hAnsi="Times New Roman" w:eastAsia="Calibri" w:cs="Times New Roman"/>
          <w:b/>
          <w:bCs/>
          <w:sz w:val="24"/>
          <w:szCs w:val="24"/>
          <w:u w:val="single"/>
          <w:lang w:val="ky-KG"/>
        </w:rPr>
      </w:pPr>
      <w:r>
        <w:rPr>
          <w:rFonts w:ascii="Times New Roman" w:hAnsi="Times New Roman" w:eastAsia="Calibri" w:cs="Times New Roman"/>
          <w:b/>
          <w:bCs/>
          <w:sz w:val="24"/>
          <w:szCs w:val="24"/>
          <w:u w:val="single"/>
        </w:rPr>
        <w:t>Квалификационные требования</w:t>
      </w:r>
      <w:r>
        <w:rPr>
          <w:rFonts w:hint="default" w:ascii="Times New Roman" w:hAnsi="Times New Roman" w:eastAsia="Calibri" w:cs="Times New Roman"/>
          <w:b/>
          <w:bCs/>
          <w:sz w:val="24"/>
          <w:szCs w:val="24"/>
          <w:u w:val="single"/>
          <w:lang w:val="ky-KG"/>
        </w:rPr>
        <w:t>:</w:t>
      </w:r>
    </w:p>
    <w:p w14:paraId="6CAB43B8">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высшее образование в сфере экономики, соц</w:t>
      </w:r>
      <w:r>
        <w:rPr>
          <w:rFonts w:ascii="Times New Roman" w:hAnsi="Times New Roman" w:eastAsia="Calibri" w:cs="Times New Roman"/>
          <w:bCs/>
          <w:sz w:val="24"/>
          <w:szCs w:val="24"/>
          <w:lang w:val="ky-KG"/>
        </w:rPr>
        <w:t xml:space="preserve">иальной сферы, </w:t>
      </w:r>
      <w:r>
        <w:rPr>
          <w:rFonts w:ascii="Times New Roman" w:hAnsi="Times New Roman" w:eastAsia="Calibri" w:cs="Times New Roman"/>
          <w:bCs/>
          <w:sz w:val="24"/>
          <w:szCs w:val="24"/>
        </w:rPr>
        <w:t>государственного и муниципального управления, юриспруденции</w:t>
      </w:r>
      <w:r>
        <w:rPr>
          <w:rFonts w:hint="default" w:ascii="Times New Roman" w:hAnsi="Times New Roman" w:eastAsia="Calibri" w:cs="Times New Roman"/>
          <w:bCs/>
          <w:sz w:val="24"/>
          <w:szCs w:val="24"/>
          <w:lang w:val="ky-KG"/>
        </w:rPr>
        <w:t>;</w:t>
      </w:r>
      <w:r>
        <w:rPr>
          <w:rFonts w:ascii="Times New Roman" w:hAnsi="Times New Roman" w:eastAsia="Calibri" w:cs="Times New Roman"/>
          <w:bCs/>
          <w:sz w:val="24"/>
          <w:szCs w:val="24"/>
        </w:rPr>
        <w:t xml:space="preserve">  </w:t>
      </w:r>
    </w:p>
    <w:p w14:paraId="0151E182">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не менее 1 года соответствующего </w:t>
      </w:r>
      <w:r>
        <w:rPr>
          <w:rFonts w:ascii="Times New Roman" w:hAnsi="Times New Roman" w:eastAsia="Calibri" w:cs="Times New Roman"/>
          <w:sz w:val="24"/>
          <w:szCs w:val="24"/>
        </w:rPr>
        <w:t>опыта работы</w:t>
      </w:r>
      <w:r>
        <w:rPr>
          <w:rFonts w:ascii="Times New Roman" w:hAnsi="Times New Roman" w:eastAsia="Calibri" w:cs="Times New Roman"/>
          <w:bCs/>
          <w:sz w:val="24"/>
          <w:szCs w:val="24"/>
        </w:rPr>
        <w:t> в области содействия занятости, экономики, управления</w:t>
      </w:r>
      <w:r>
        <w:rPr>
          <w:rFonts w:hint="default" w:ascii="Times New Roman" w:hAnsi="Times New Roman" w:eastAsia="Calibri" w:cs="Times New Roman"/>
          <w:bCs/>
          <w:sz w:val="24"/>
          <w:szCs w:val="24"/>
          <w:lang w:val="ky-KG"/>
        </w:rPr>
        <w:t>;</w:t>
      </w:r>
    </w:p>
    <w:p w14:paraId="22436AD9">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знание нормативно-правовой базы в области труда, содействия занятости, </w:t>
      </w:r>
      <w:r>
        <w:rPr>
          <w:rFonts w:ascii="Times New Roman" w:hAnsi="Times New Roman" w:eastAsia="Calibri" w:cs="Times New Roman"/>
          <w:bCs/>
          <w:sz w:val="24"/>
          <w:szCs w:val="24"/>
          <w:lang w:val="ky-KG"/>
        </w:rPr>
        <w:t>проф</w:t>
      </w:r>
      <w:r>
        <w:rPr>
          <w:rFonts w:ascii="Times New Roman" w:hAnsi="Times New Roman" w:eastAsia="Calibri" w:cs="Times New Roman"/>
          <w:bCs/>
          <w:sz w:val="24"/>
          <w:szCs w:val="24"/>
        </w:rPr>
        <w:t>образования и др. соответствующих сфер</w:t>
      </w:r>
      <w:r>
        <w:rPr>
          <w:rFonts w:hint="default" w:ascii="Times New Roman" w:hAnsi="Times New Roman" w:eastAsia="Calibri" w:cs="Times New Roman"/>
          <w:bCs/>
          <w:sz w:val="24"/>
          <w:szCs w:val="24"/>
          <w:lang w:val="ky-KG"/>
        </w:rPr>
        <w:t>;</w:t>
      </w:r>
    </w:p>
    <w:p w14:paraId="43D55C08">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bookmarkStart w:id="1" w:name="_Hlk163146041"/>
      <w:r>
        <w:rPr>
          <w:rFonts w:ascii="Times New Roman" w:hAnsi="Times New Roman" w:eastAsia="Calibri" w:cs="Times New Roman"/>
          <w:bCs/>
          <w:sz w:val="24"/>
          <w:szCs w:val="24"/>
          <w:lang w:val="ky-KG"/>
        </w:rPr>
        <w:t>опыт взаимодействия с государственными и местными органами власти, бизнес-сообществом, молодежью и образовательными учреждениями</w:t>
      </w:r>
      <w:r>
        <w:rPr>
          <w:rFonts w:hint="default" w:ascii="Times New Roman" w:hAnsi="Times New Roman" w:eastAsia="Calibri" w:cs="Times New Roman"/>
          <w:bCs/>
          <w:sz w:val="24"/>
          <w:szCs w:val="24"/>
          <w:lang w:val="ky-KG"/>
        </w:rPr>
        <w:t>;</w:t>
      </w:r>
    </w:p>
    <w:bookmarkEnd w:id="1"/>
    <w:p w14:paraId="478A13A6">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свободное владение кыргызским и русским языками;</w:t>
      </w:r>
    </w:p>
    <w:p w14:paraId="0F66C76C">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lang w:val="ky-KG"/>
        </w:rPr>
        <w:t>навыки</w:t>
      </w:r>
      <w:r>
        <w:rPr>
          <w:rFonts w:ascii="Times New Roman" w:hAnsi="Times New Roman" w:eastAsia="Calibri" w:cs="Times New Roman"/>
          <w:bCs/>
          <w:sz w:val="24"/>
          <w:szCs w:val="24"/>
        </w:rPr>
        <w:t xml:space="preserve"> подготовки различных </w:t>
      </w:r>
      <w:r>
        <w:rPr>
          <w:rFonts w:ascii="Times New Roman" w:hAnsi="Times New Roman" w:eastAsia="Calibri" w:cs="Times New Roman"/>
          <w:bCs/>
          <w:sz w:val="24"/>
          <w:szCs w:val="24"/>
          <w:lang w:val="ky-KG"/>
        </w:rPr>
        <w:t>материалов,</w:t>
      </w:r>
      <w:r>
        <w:rPr>
          <w:rFonts w:ascii="Times New Roman" w:hAnsi="Times New Roman" w:eastAsia="Calibri" w:cs="Times New Roman"/>
          <w:bCs/>
          <w:sz w:val="24"/>
          <w:szCs w:val="24"/>
        </w:rPr>
        <w:t xml:space="preserve"> аналитических отчетов, презентаций</w:t>
      </w:r>
      <w:r>
        <w:rPr>
          <w:rFonts w:ascii="Times New Roman" w:hAnsi="Times New Roman" w:eastAsia="Calibri" w:cs="Times New Roman"/>
          <w:bCs/>
          <w:sz w:val="24"/>
          <w:szCs w:val="24"/>
          <w:lang w:val="ky-KG"/>
        </w:rPr>
        <w:t xml:space="preserve"> </w:t>
      </w:r>
      <w:r>
        <w:rPr>
          <w:rFonts w:ascii="Times New Roman" w:hAnsi="Times New Roman" w:eastAsia="Calibri" w:cs="Times New Roman"/>
          <w:bCs/>
          <w:sz w:val="24"/>
          <w:szCs w:val="24"/>
        </w:rPr>
        <w:t>и др.</w:t>
      </w:r>
      <w:r>
        <w:rPr>
          <w:rFonts w:hint="default" w:ascii="Times New Roman" w:hAnsi="Times New Roman" w:eastAsia="Calibri" w:cs="Times New Roman"/>
          <w:bCs/>
          <w:sz w:val="24"/>
          <w:szCs w:val="24"/>
          <w:lang w:val="ky-KG"/>
        </w:rPr>
        <w:t>;</w:t>
      </w:r>
    </w:p>
    <w:p w14:paraId="5ECE73AA">
      <w:pPr>
        <w:spacing w:after="0" w:line="240" w:lineRule="auto"/>
        <w:ind w:left="1276" w:hanging="709"/>
        <w:jc w:val="center"/>
        <w:rPr>
          <w:rFonts w:ascii="Times New Roman" w:hAnsi="Times New Roman" w:eastAsia="Times New Roman" w:cs="Times New Roman"/>
          <w:b/>
          <w:bCs/>
          <w:sz w:val="24"/>
          <w:szCs w:val="24"/>
        </w:rPr>
      </w:pPr>
      <w:bookmarkStart w:id="2" w:name="_GoBack"/>
      <w:bookmarkEnd w:id="2"/>
    </w:p>
    <w:p w14:paraId="4AC87816">
      <w:pPr>
        <w:spacing w:after="0" w:line="240" w:lineRule="auto"/>
        <w:ind w:left="1276" w:hanging="709"/>
        <w:jc w:val="both"/>
        <w:rPr>
          <w:rFonts w:ascii="Times New Roman" w:hAnsi="Times New Roman" w:cs="Times New Roman"/>
          <w:b/>
          <w:color w:val="000000" w:themeColor="text1"/>
          <w:sz w:val="24"/>
          <w:szCs w:val="24"/>
          <w:u w:val="single"/>
          <w:lang w:val="ky-KG"/>
          <w14:textFill>
            <w14:solidFill>
              <w14:schemeClr w14:val="tx1"/>
            </w14:solidFill>
          </w14:textFill>
        </w:rPr>
      </w:pPr>
      <w:r>
        <w:rPr>
          <w:rFonts w:ascii="Times New Roman" w:hAnsi="Times New Roman" w:cs="Times New Roman"/>
          <w:b/>
          <w:color w:val="000000" w:themeColor="text1"/>
          <w:sz w:val="24"/>
          <w:szCs w:val="24"/>
          <w:u w:val="single"/>
          <w:lang w:val="ky-KG"/>
          <w14:textFill>
            <w14:solidFill>
              <w14:schemeClr w14:val="tx1"/>
            </w14:solidFill>
          </w14:textFill>
        </w:rPr>
        <w:t>Оплата услуг</w:t>
      </w:r>
    </w:p>
    <w:p w14:paraId="6CBFB2F5">
      <w:pPr>
        <w:spacing w:after="0" w:line="240" w:lineRule="auto"/>
        <w:ind w:firstLine="567"/>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Услуги консультанта оплачиваются ежемесячно на основании утвержденных отчетов и объема выполненных задач. Вознаграждение определяется в соответствии с Постановлением Кабинета Министров Кыргызской Республики от 25 декабря 2025 года №830.</w:t>
      </w:r>
    </w:p>
    <w:p w14:paraId="6F130C6D">
      <w:pPr>
        <w:spacing w:after="0" w:line="240" w:lineRule="auto"/>
        <w:ind w:left="1276" w:hanging="709"/>
        <w:jc w:val="both"/>
        <w:rPr>
          <w:rFonts w:ascii="Times New Roman" w:hAnsi="Times New Roman" w:eastAsia="Times New Roman" w:cs="Times New Roman"/>
          <w:b/>
          <w:bCs/>
          <w:sz w:val="24"/>
          <w:szCs w:val="24"/>
        </w:rPr>
      </w:pPr>
    </w:p>
    <w:p w14:paraId="48D0AEBA"/>
    <w:sectPr>
      <w:pgSz w:w="11906" w:h="16838"/>
      <w:pgMar w:top="964" w:right="964" w:bottom="851"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C23FE"/>
    <w:multiLevelType w:val="multilevel"/>
    <w:tmpl w:val="2C8C23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D875E04"/>
    <w:multiLevelType w:val="multilevel"/>
    <w:tmpl w:val="2D875E04"/>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0B0125C"/>
    <w:multiLevelType w:val="multilevel"/>
    <w:tmpl w:val="30B0125C"/>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DB"/>
    <w:rsid w:val="00031116"/>
    <w:rsid w:val="00031FFA"/>
    <w:rsid w:val="0006241F"/>
    <w:rsid w:val="000741EC"/>
    <w:rsid w:val="000821EC"/>
    <w:rsid w:val="00095705"/>
    <w:rsid w:val="000C374A"/>
    <w:rsid w:val="000F7FF2"/>
    <w:rsid w:val="00114B26"/>
    <w:rsid w:val="001175DA"/>
    <w:rsid w:val="00141C9D"/>
    <w:rsid w:val="001622E5"/>
    <w:rsid w:val="0022457A"/>
    <w:rsid w:val="00245AF2"/>
    <w:rsid w:val="002658DB"/>
    <w:rsid w:val="00274FB1"/>
    <w:rsid w:val="002845FB"/>
    <w:rsid w:val="00287F87"/>
    <w:rsid w:val="00335424"/>
    <w:rsid w:val="00336A6F"/>
    <w:rsid w:val="00363744"/>
    <w:rsid w:val="00365A34"/>
    <w:rsid w:val="00374C11"/>
    <w:rsid w:val="00375568"/>
    <w:rsid w:val="00382800"/>
    <w:rsid w:val="003A59BF"/>
    <w:rsid w:val="003B65C2"/>
    <w:rsid w:val="003C485C"/>
    <w:rsid w:val="003D13EF"/>
    <w:rsid w:val="003E1929"/>
    <w:rsid w:val="003F3C11"/>
    <w:rsid w:val="00404F24"/>
    <w:rsid w:val="0043346F"/>
    <w:rsid w:val="004B16A1"/>
    <w:rsid w:val="004B3264"/>
    <w:rsid w:val="004E29A4"/>
    <w:rsid w:val="004E6823"/>
    <w:rsid w:val="00547EC9"/>
    <w:rsid w:val="00575937"/>
    <w:rsid w:val="00591B0A"/>
    <w:rsid w:val="005B38B3"/>
    <w:rsid w:val="00606C91"/>
    <w:rsid w:val="00626414"/>
    <w:rsid w:val="00630A9E"/>
    <w:rsid w:val="006539C9"/>
    <w:rsid w:val="006561F6"/>
    <w:rsid w:val="006760F6"/>
    <w:rsid w:val="006926E5"/>
    <w:rsid w:val="006B2C2C"/>
    <w:rsid w:val="006C6C3D"/>
    <w:rsid w:val="006D1358"/>
    <w:rsid w:val="00731080"/>
    <w:rsid w:val="007403F7"/>
    <w:rsid w:val="00747AC8"/>
    <w:rsid w:val="00760809"/>
    <w:rsid w:val="007668E0"/>
    <w:rsid w:val="00774B17"/>
    <w:rsid w:val="00775434"/>
    <w:rsid w:val="007860B4"/>
    <w:rsid w:val="00787FA1"/>
    <w:rsid w:val="007C377D"/>
    <w:rsid w:val="00802355"/>
    <w:rsid w:val="00846242"/>
    <w:rsid w:val="00851BFE"/>
    <w:rsid w:val="00852D89"/>
    <w:rsid w:val="00895112"/>
    <w:rsid w:val="00897F9A"/>
    <w:rsid w:val="008B11CA"/>
    <w:rsid w:val="008B4D91"/>
    <w:rsid w:val="008C0E1D"/>
    <w:rsid w:val="008D295B"/>
    <w:rsid w:val="00907508"/>
    <w:rsid w:val="009252A8"/>
    <w:rsid w:val="00934BC2"/>
    <w:rsid w:val="009537D4"/>
    <w:rsid w:val="009648E4"/>
    <w:rsid w:val="009672C3"/>
    <w:rsid w:val="00990522"/>
    <w:rsid w:val="009D37C1"/>
    <w:rsid w:val="009E109D"/>
    <w:rsid w:val="009E2668"/>
    <w:rsid w:val="00A1116E"/>
    <w:rsid w:val="00A16510"/>
    <w:rsid w:val="00A33CD7"/>
    <w:rsid w:val="00A35F5E"/>
    <w:rsid w:val="00B05896"/>
    <w:rsid w:val="00B352BF"/>
    <w:rsid w:val="00B756D1"/>
    <w:rsid w:val="00B76E18"/>
    <w:rsid w:val="00BD3339"/>
    <w:rsid w:val="00C51A43"/>
    <w:rsid w:val="00C7483B"/>
    <w:rsid w:val="00CA0CCC"/>
    <w:rsid w:val="00CA277F"/>
    <w:rsid w:val="00CD59C6"/>
    <w:rsid w:val="00CD6CA9"/>
    <w:rsid w:val="00CD717A"/>
    <w:rsid w:val="00CE0E1C"/>
    <w:rsid w:val="00CE5CB0"/>
    <w:rsid w:val="00D1302B"/>
    <w:rsid w:val="00D33FAF"/>
    <w:rsid w:val="00D36D31"/>
    <w:rsid w:val="00D86E14"/>
    <w:rsid w:val="00D91881"/>
    <w:rsid w:val="00DB7509"/>
    <w:rsid w:val="00DC0ABE"/>
    <w:rsid w:val="00DD03F3"/>
    <w:rsid w:val="00DD61DF"/>
    <w:rsid w:val="00DD673C"/>
    <w:rsid w:val="00E0019A"/>
    <w:rsid w:val="00E43499"/>
    <w:rsid w:val="00E47239"/>
    <w:rsid w:val="00E5469B"/>
    <w:rsid w:val="00E57F7A"/>
    <w:rsid w:val="00E750C3"/>
    <w:rsid w:val="00EA4AC9"/>
    <w:rsid w:val="00EC7BDA"/>
    <w:rsid w:val="00EF6674"/>
    <w:rsid w:val="00F221A6"/>
    <w:rsid w:val="00F60666"/>
    <w:rsid w:val="00FA0E9F"/>
    <w:rsid w:val="00FA1938"/>
    <w:rsid w:val="00FA65F7"/>
    <w:rsid w:val="00FD5626"/>
    <w:rsid w:val="00FD58B6"/>
    <w:rsid w:val="00FE4696"/>
    <w:rsid w:val="10E02D67"/>
    <w:rsid w:val="1940737B"/>
    <w:rsid w:val="25401B62"/>
    <w:rsid w:val="279A4C07"/>
    <w:rsid w:val="2AA34A80"/>
    <w:rsid w:val="2DD663EC"/>
    <w:rsid w:val="340D14C1"/>
    <w:rsid w:val="37E83F90"/>
    <w:rsid w:val="3DFB33BD"/>
    <w:rsid w:val="40BC23C2"/>
    <w:rsid w:val="43305186"/>
    <w:rsid w:val="4370131B"/>
    <w:rsid w:val="49EF3C07"/>
    <w:rsid w:val="52B04F36"/>
    <w:rsid w:val="53E851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8"/>
    <w:semiHidden/>
    <w:unhideWhenUsed/>
    <w:qFormat/>
    <w:uiPriority w:val="99"/>
    <w:pPr>
      <w:spacing w:after="0" w:line="240" w:lineRule="auto"/>
    </w:pPr>
    <w:rPr>
      <w:rFonts w:ascii="Segoe UI" w:hAnsi="Segoe UI" w:cs="Segoe UI"/>
      <w:sz w:val="18"/>
      <w:szCs w:val="18"/>
    </w:rPr>
  </w:style>
  <w:style w:type="paragraph" w:styleId="6">
    <w:name w:val="List Paragraph"/>
    <w:basedOn w:val="1"/>
    <w:link w:val="7"/>
    <w:qFormat/>
    <w:uiPriority w:val="34"/>
    <w:pPr>
      <w:spacing w:after="0" w:line="240" w:lineRule="auto"/>
      <w:ind w:left="720"/>
      <w:contextualSpacing/>
    </w:pPr>
    <w:rPr>
      <w:rFonts w:ascii="Times New Roman" w:hAnsi="Times New Roman" w:eastAsia="Times New Roman" w:cs="Times New Roman"/>
      <w:sz w:val="24"/>
      <w:szCs w:val="24"/>
      <w:lang w:val="en-US"/>
    </w:rPr>
  </w:style>
  <w:style w:type="character" w:customStyle="1" w:styleId="7">
    <w:name w:val="Абзац списка Знак"/>
    <w:basedOn w:val="2"/>
    <w:link w:val="6"/>
    <w:qFormat/>
    <w:locked/>
    <w:uiPriority w:val="34"/>
    <w:rPr>
      <w:rFonts w:ascii="Times New Roman" w:hAnsi="Times New Roman" w:eastAsia="Times New Roman" w:cs="Times New Roman"/>
      <w:sz w:val="24"/>
      <w:szCs w:val="24"/>
      <w:lang w:val="en-US"/>
    </w:rPr>
  </w:style>
  <w:style w:type="character" w:customStyle="1" w:styleId="8">
    <w:name w:val="Текст выноски Знак"/>
    <w:basedOn w:val="2"/>
    <w:link w:val="5"/>
    <w:semiHidden/>
    <w:qFormat/>
    <w:uiPriority w:val="99"/>
    <w:rPr>
      <w:rFonts w:ascii="Segoe UI" w:hAnsi="Segoe UI" w:cs="Segoe UI"/>
      <w:sz w:val="18"/>
      <w:szCs w:val="18"/>
    </w:rPr>
  </w:style>
  <w:style w:type="paragraph" w:customStyle="1" w:styleId="9">
    <w:name w:val="Revision"/>
    <w:hidden/>
    <w:semiHidden/>
    <w:qFormat/>
    <w:uiPriority w:val="99"/>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1416</Words>
  <Characters>8077</Characters>
  <Lines>67</Lines>
  <Paragraphs>18</Paragraphs>
  <TotalTime>30</TotalTime>
  <ScaleCrop>false</ScaleCrop>
  <LinksUpToDate>false</LinksUpToDate>
  <CharactersWithSpaces>9475</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2026-02-02T11:09:00Z</dcterms:created>
  <dc:creator>Lenovo330</dc:creator>
  <cp:lastModifiedBy>Азим Талайбеков</cp:lastModifiedBy>
  <dcterms:modified xsi:type="dcterms:W3CDTF">2026-04-08T09:20:05Z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F13A65F1E99042DC86EFFA405251EDC4_13</vt:lpwstr>
  </property>
</Properties>
</file>